
<file path=[Content_Types].xml><?xml version="1.0" encoding="utf-8"?>
<Types xmlns="http://schemas.openxmlformats.org/package/2006/content-types">
  <Override PartName="/word/media/image23.png" ContentType="image/png"/>
  <Override PartName="/word/media/image22.png" ContentType="image/png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</w:pPr>
      <w:r>
        <w:rPr/>
        <w:drawing>
          <wp:inline distB="0" distL="0" distR="0" distT="0">
            <wp:extent cx="7515225" cy="514350"/>
            <wp:effectExtent b="0" l="0" r="0" t="0"/>
            <wp:docPr descr="A description..."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A description...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tyle0"/>
      </w:pPr>
      <w:r>
        <w:rPr>
          <w:u w:val="single"/>
        </w:rPr>
      </w:r>
    </w:p>
    <w:tbl>
      <w:tblPr>
        <w:tblBorders/>
        <w:jc w:val="left"/>
        <w:tblInd w:type="dxa" w:w="295"/>
      </w:tblPr>
      <w:tblGrid>
        <w:gridCol w:w="11115"/>
      </w:tblGrid>
      <w:tr>
        <w:trPr>
          <w:cantSplit w:val="off"/>
        </w:trPr>
        <w:tc>
          <w:tcPr>
            <w:tcBorders/>
            <w:shd w:fill="auto"/>
            <w:tcW w:type="dxa" w:w="1111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1"/>
              <w:spacing w:after="0" w:before="0" w:line="100" w:lineRule="atLeast"/>
            </w:pPr>
            <w:r>
              <w:rPr>
                <w:rFonts w:ascii="Verdana" w:hAnsi="Verdana"/>
              </w:rPr>
              <w:t>Novos tempos e novos desafios</w:t>
            </w:r>
          </w:p>
          <w:p>
            <w:pPr>
              <w:pStyle w:val="style26"/>
              <w:spacing w:after="0" w:before="0" w:line="100" w:lineRule="atLeast"/>
            </w:pPr>
            <w:r>
              <w:rPr>
                <w:rFonts w:ascii="Verdana" w:hAnsi="Verdana"/>
              </w:rPr>
              <w:t>As possibilidades são muitas para que realmente as TIC sejam utilizadas no sentido de reconstruir a escola de hoje em um espaço articulador e produtor de conhecimento, aberto à comunidade e integrado com o mundo, tal como as necessidades e exigências da sociedade do século XXI.</w:t>
            </w:r>
          </w:p>
          <w:p>
            <w:pPr>
              <w:pStyle w:val="style26"/>
              <w:spacing w:after="0" w:before="0" w:line="100" w:lineRule="atLeast"/>
            </w:pPr>
            <w:r>
              <w:rPr>
                <w:rFonts w:ascii="Verdana" w:hAnsi="Verdana"/>
              </w:rPr>
              <w:t>Muitas escolas, professores e gestores estão caminhando nesta direção, investindo na formação continuada e buscando participar ativamente desse processo que ora surge com novos desafios com a implantação do Projeto UCA e a chegada dos laptops educacional nas escolas.</w:t>
            </w:r>
          </w:p>
          <w:p>
            <w:pPr>
              <w:pStyle w:val="style26"/>
              <w:spacing w:after="0" w:before="0" w:line="100" w:lineRule="atLeast"/>
            </w:pPr>
            <w:r>
              <w:rPr>
                <w:rFonts w:ascii="Verdana" w:hAnsi="Verdana"/>
              </w:rPr>
              <w:t>O Projeto UCA é relevante em vários sentidos, especialmente pelo potencial promover mais facilmente a inclusão digital na perspectiva da inclusão social dos estudantes das escolas públicas.</w:t>
            </w:r>
          </w:p>
          <w:p>
            <w:pPr>
              <w:pStyle w:val="style26"/>
              <w:spacing w:after="0" w:before="0" w:line="100" w:lineRule="atLeast"/>
            </w:pPr>
            <w:r>
              <w:rPr>
                <w:rFonts w:ascii="Verdana" w:hAnsi="Verdana"/>
              </w:rPr>
              <w:t>A inclusão social se dá quando o estudante aprende a lidar com os recursos digitais de forma critica e reflexiva, buscando e selecionando informações, interpretando e atribuindo significado, representando e produzindo conhecimento.</w:t>
            </w:r>
          </w:p>
          <w:tbl>
            <w:tblPr>
              <w:tblBorders/>
              <w:jc w:val="center"/>
            </w:tblPr>
            <w:tblGrid>
              <w:gridCol w:w="1289"/>
              <w:gridCol w:w="9609"/>
            </w:tblGrid>
            <w:tr>
              <w:trPr>
                <w:cantSplit w:val="off"/>
              </w:trPr>
              <w:tc>
                <w:tcPr>
                  <w:tcBorders/>
                  <w:shd w:fill="auto"/>
                  <w:tcW w:type="dxa" w:w="1289"/>
                  <w:tcMar>
                    <w:top w:type="dxa" w:w="15"/>
                    <w:left w:type="dxa" w:w="15"/>
                    <w:bottom w:type="dxa" w:w="15"/>
                    <w:right w:type="dxa" w:w="15"/>
                  </w:tcMar>
                </w:tcPr>
                <w:p>
                  <w:pPr>
                    <w:pStyle w:val="style0"/>
                    <w:spacing w:after="0" w:before="0" w:line="100" w:lineRule="atLeast"/>
                  </w:pPr>
                  <w:r>
                    <w:rPr/>
                    <w:drawing>
                      <wp:inline distB="0" distL="0" distR="0" distT="0">
                        <wp:extent cx="666750" cy="666750"/>
                        <wp:effectExtent b="0" l="0" r="0" t="0"/>
                        <wp:docPr descr="A description..." id="1" name="Pictur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descr="A description..." id="0" name="Picture"/>
                                <pic:cNvPicPr>
                                  <a:picLocks noChangeArrowheads="1" noChangeAspect="1"/>
                                </pic:cNvPicPr>
                              </pic:nvPicPr>
                              <pic:blipFill>
                                <a:blip r:embed="rId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0" cy="666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Borders/>
                  <w:shd w:fill="auto"/>
                  <w:tcW w:type="dxa" w:w="9609"/>
                  <w:tcMar>
                    <w:top w:type="dxa" w:w="15"/>
                    <w:left w:type="dxa" w:w="15"/>
                    <w:bottom w:type="dxa" w:w="15"/>
                    <w:right w:type="dxa" w:w="15"/>
                  </w:tcMar>
                </w:tcPr>
                <w:p>
                  <w:pPr>
                    <w:pStyle w:val="style2"/>
                    <w:numPr>
                      <w:ilvl w:val="1"/>
                      <w:numId w:val="1"/>
                    </w:numPr>
                    <w:ind w:hanging="0" w:left="150" w:right="0"/>
                    <w:spacing w:after="0" w:before="0" w:line="100" w:lineRule="atLeast"/>
                  </w:pPr>
                  <w:r>
                    <w:rPr>
                      <w:rFonts w:ascii="Verdana" w:hAnsi="Verdana"/>
                    </w:rPr>
                    <w:t>Para Saber Mais</w:t>
                  </w:r>
                </w:p>
                <w:p>
                  <w:pPr>
                    <w:pStyle w:val="style26"/>
                    <w:spacing w:after="0" w:before="0" w:line="100" w:lineRule="atLeast"/>
                  </w:pPr>
                  <w:r>
                    <w:rPr>
                      <w:rFonts w:ascii="Verdana" w:hAnsi="Verdana"/>
                    </w:rPr>
                    <w:t xml:space="preserve">Ouça algumas idéias destacadas nas </w:t>
                  </w:r>
                  <w:hyperlink r:id="rId4">
                    <w:r>
                      <w:rPr>
                        <w:color w:val="666666"/>
                        <w:rStyle w:val="style19"/>
                        <w:rFonts w:ascii="Verdana" w:hAnsi="Verdana"/>
                      </w:rPr>
                      <w:t>entrevistas dos especialistas</w:t>
                    </w:r>
                  </w:hyperlink>
                  <w:r>
                    <w:rPr>
                      <w:rFonts w:ascii="Verdana" w:hAnsi="Verdana"/>
                    </w:rPr>
                    <w:t xml:space="preserve"> do Grupo de Trabalho do Projeto UCA.</w:t>
                  </w:r>
                </w:p>
                <w:p>
                  <w:pPr>
                    <w:pStyle w:val="style26"/>
                    <w:spacing w:after="0" w:before="0" w:line="100" w:lineRule="atLeast"/>
                  </w:pPr>
                  <w:r>
                    <w:rPr>
                      <w:rFonts w:ascii="Verdana" w:hAnsi="Verdana"/>
                    </w:rPr>
                    <w:t xml:space="preserve">Leia o texto Integração de mídias e a reconstrução da prática pedagógica de Maria Elisabette B B Prado. Disponível em </w:t>
                  </w:r>
                  <w:hyperlink r:id="rId5">
                    <w:r>
                      <w:rPr>
                        <w:rStyle w:val="style19"/>
                        <w:rFonts w:ascii="Verdana" w:hAnsi="Verdana"/>
                      </w:rPr>
                      <w:t>http://www.tvbrasil.org.br/fotos/salto/series/145723IntegracaoTec.pdf</w:t>
                    </w:r>
                  </w:hyperlink>
                </w:p>
              </w:tc>
            </w:tr>
          </w:tbl>
          <w:p>
            <w:pPr>
              <w:pStyle w:val="style0"/>
              <w:spacing w:after="0" w:before="0" w:line="100" w:lineRule="atLeast"/>
            </w:pPr>
            <w:r>
              <w:rPr>
                <w:sz w:val="48"/>
                <w:b/>
                <w:szCs w:val="48"/>
                <w:bCs/>
                <w:rFonts w:ascii="Times New Roman" w:cs="Times New Roman" w:eastAsia="Times New Roman" w:hAnsi="Times New Roman"/>
                <w:lang w:eastAsia="pt-BR"/>
              </w:rPr>
            </w:r>
          </w:p>
        </w:tc>
      </w:tr>
    </w:tbl>
    <w:p>
      <w:pPr>
        <w:pStyle w:val="style0"/>
        <w:ind w:firstLine="708" w:left="3540" w:right="0"/>
        <w:spacing w:after="28" w:before="28" w:line="100" w:lineRule="atLeast"/>
      </w:pPr>
      <w:r>
        <w:rPr>
          <w:sz w:val="48"/>
          <w:u w:val="single"/>
          <w:b/>
          <w:szCs w:val="48"/>
          <w:bCs/>
          <w:rFonts w:ascii="Times New Roman" w:cs="Times New Roman" w:eastAsia="Times New Roman" w:hAnsi="Times New Roman"/>
          <w:lang w:eastAsia="pt-BR"/>
        </w:rPr>
      </w:r>
    </w:p>
    <w:p>
      <w:pPr>
        <w:pStyle w:val="style0"/>
        <w:ind w:firstLine="708" w:left="3540" w:right="0"/>
        <w:spacing w:after="28" w:before="28" w:line="100" w:lineRule="atLeast"/>
      </w:pPr>
      <w:r>
        <w:rPr>
          <w:sz w:val="48"/>
          <w:u w:val="single"/>
          <w:b/>
          <w:szCs w:val="48"/>
          <w:bCs/>
          <w:rFonts w:ascii="Times New Roman" w:cs="Times New Roman" w:eastAsia="Times New Roman" w:hAnsi="Times New Roman"/>
          <w:lang w:eastAsia="pt-BR"/>
        </w:rPr>
      </w:r>
    </w:p>
    <w:p>
      <w:pPr>
        <w:pStyle w:val="style0"/>
      </w:pPr>
      <w:r>
        <w:rPr/>
      </w:r>
    </w:p>
    <w:sectPr>
      <w:formProt w:val="off"/>
      <w:pgSz w:h="16837" w:w="11905"/>
      <w:textDirection w:val="lrTb"/>
      <w:pgNumType w:fmt="decimal"/>
      <w:type w:val="nextPage"/>
      <w:pgMar w:bottom="0" w:left="0" w:right="0" w:top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0"/>
    <w:family w:val="roman"/>
    <w:pitch w:val="variable"/>
  </w:font>
  <w:font w:name="Calibri">
    <w:charset w:val="80"/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none"/>
      <w:lvlJc w:val="left"/>
      <w:lvlText w:val=""/>
      <w:pPr>
        <w:ind w:hanging="432" w:left="432"/>
      </w:pPr>
    </w:lvl>
    <w:lvl w:ilvl="1">
      <w:start w:val="1"/>
      <w:numFmt w:val="none"/>
      <w:lvlJc w:val="left"/>
      <w:lvlText w:val=""/>
      <w:pPr>
        <w:ind w:hanging="576" w:left="576"/>
      </w:pPr>
    </w:lvl>
    <w:lvl w:ilvl="2">
      <w:start w:val="1"/>
      <w:numFmt w:val="none"/>
      <w:lvlJc w:val="left"/>
      <w:lvlText w:val=""/>
      <w:pPr>
        <w:ind w:hanging="720" w:left="720"/>
      </w:pPr>
    </w:lvl>
    <w:lvl w:ilvl="3">
      <w:start w:val="1"/>
      <w:numFmt w:val="none"/>
      <w:lvlJc w:val="left"/>
      <w:lvlText w:val=""/>
      <w:pPr>
        <w:ind w:hanging="864" w:left="864"/>
      </w:pPr>
    </w:lvl>
    <w:lvl w:ilvl="4">
      <w:start w:val="1"/>
      <w:numFmt w:val="none"/>
      <w:lvlJc w:val="left"/>
      <w:lvlText w:val=""/>
      <w:pPr>
        <w:ind w:hanging="1008" w:left="1008"/>
      </w:pPr>
    </w:lvl>
    <w:lvl w:ilvl="5">
      <w:start w:val="1"/>
      <w:numFmt w:val="none"/>
      <w:lvlJc w:val="left"/>
      <w:lvlText w:val=""/>
      <w:pPr>
        <w:ind w:hanging="1152" w:left="1152"/>
      </w:pPr>
    </w:lvl>
    <w:lvl w:ilvl="6">
      <w:start w:val="1"/>
      <w:numFmt w:val="none"/>
      <w:lvlJc w:val="left"/>
      <w:lvlText w:val=""/>
      <w:pPr>
        <w:ind w:hanging="1296" w:left="1296"/>
      </w:pPr>
    </w:lvl>
    <w:lvl w:ilvl="7">
      <w:start w:val="1"/>
      <w:numFmt w:val="none"/>
      <w:lvlJc w:val="left"/>
      <w:lvlText w:val=""/>
      <w:pPr>
        <w:ind w:hanging="1440" w:left="1440"/>
      </w:pPr>
    </w:lvl>
    <w:lvl w:ilvl="8">
      <w:start w:val="1"/>
      <w:numFmt w:val="none"/>
      <w:lvlJc w:val="left"/>
      <w:lvlText w:val=""/>
      <w:pPr>
        <w:ind w:hanging="1584" w:left="1584"/>
      </w:pPr>
    </w:lvl>
  </w:abstractNum>
  <w:num w:numId="1">
    <w:abstractNumId w:val="1"/>
  </w:num>
</w:numbering>
</file>

<file path=word/styles.xml><?xml version="1.0" encoding="utf-8"?>
<w:styles xmlns:w="http://schemas.openxmlformats.org/wordprocessingml/2006/main">
  <w:style w:styleId="style0" w:type="paragraph">
    <w:name w:val="Padrão"/>
    <w:next w:val="style0"/>
    <w:pPr>
      <w:jc w:val="left"/>
      <w:widowControl/>
      <w:tabs>
        <w:tab w:leader="none" w:pos="709" w:val="left"/>
      </w:tabs>
      <w:suppressAutoHyphens w:val="true"/>
      <w:spacing w:after="200" w:before="0" w:line="276" w:lineRule="atLeast"/>
    </w:pPr>
    <w:rPr>
      <w:color w:val="auto"/>
      <w:sz w:val="22"/>
      <w:szCs w:val="22"/>
      <w:rFonts w:ascii="Calibri" w:cs="" w:eastAsia="DejaVu Sans" w:hAnsi="Calibri"/>
      <w:lang w:bidi="ar-SA" w:eastAsia="en-US" w:val="pt-BR"/>
    </w:rPr>
  </w:style>
  <w:style w:styleId="style1" w:type="paragraph">
    <w:name w:val="Título 1"/>
    <w:basedOn w:val="style0"/>
    <w:next w:val="style21"/>
    <w:pPr>
      <w:spacing w:after="28" w:before="28" w:line="100" w:lineRule="atLeast"/>
    </w:pPr>
    <w:rPr>
      <w:sz w:val="48"/>
      <w:b/>
      <w:szCs w:val="48"/>
      <w:bCs/>
      <w:rFonts w:ascii="Times New Roman" w:cs="Times New Roman" w:eastAsia="Times New Roman" w:hAnsi="Times New Roman"/>
      <w:lang w:eastAsia="pt-BR"/>
    </w:rPr>
  </w:style>
  <w:style w:styleId="style2" w:type="paragraph">
    <w:name w:val="Título 2"/>
    <w:basedOn w:val="style0"/>
    <w:next w:val="style21"/>
    <w:pPr>
      <w:outlineLvl w:val="1"/>
      <w:numPr>
        <w:ilvl w:val="1"/>
        <w:numId w:val="1"/>
      </w:numPr>
      <w:keepNext/>
      <w:spacing w:after="0" w:before="200"/>
    </w:pPr>
    <w:rPr>
      <w:color w:val="4F81BD"/>
      <w:sz w:val="26"/>
      <w:b/>
      <w:szCs w:val="26"/>
      <w:bCs/>
      <w:rFonts w:ascii="Cambria" w:cs="" w:hAnsi="Cambria"/>
    </w:rPr>
  </w:style>
  <w:style w:styleId="style15" w:type="character">
    <w:name w:val="Default Paragraph Font"/>
    <w:next w:val="style15"/>
    <w:rPr/>
  </w:style>
  <w:style w:styleId="style16" w:type="character">
    <w:name w:val="Texto de balão Char"/>
    <w:basedOn w:val="style15"/>
    <w:next w:val="style16"/>
    <w:rPr/>
  </w:style>
  <w:style w:styleId="style17" w:type="character">
    <w:name w:val="Título 1 Char"/>
    <w:basedOn w:val="style15"/>
    <w:next w:val="style17"/>
    <w:rPr/>
  </w:style>
  <w:style w:styleId="style18" w:type="character">
    <w:name w:val="Título 2 Char"/>
    <w:basedOn w:val="style15"/>
    <w:next w:val="style18"/>
    <w:rPr/>
  </w:style>
  <w:style w:styleId="style19" w:type="character">
    <w:name w:val="Link da Internet"/>
    <w:basedOn w:val="style15"/>
    <w:next w:val="style19"/>
    <w:rPr>
      <w:color w:val="0000FF"/>
      <w:u w:val="single"/>
      <w:lang w:bidi="pt-BR" w:eastAsia="pt-BR" w:val="pt-BR"/>
    </w:rPr>
  </w:style>
  <w:style w:styleId="style20" w:type="paragraph">
    <w:name w:val="Título"/>
    <w:basedOn w:val="style0"/>
    <w:next w:val="style21"/>
    <w:pPr>
      <w:keepNext/>
      <w:spacing w:after="120" w:before="240"/>
    </w:pPr>
    <w:rPr>
      <w:sz w:val="28"/>
      <w:szCs w:val="28"/>
      <w:rFonts w:ascii="Arial" w:cs="DejaVu Sans" w:eastAsia="DejaVu Sans" w:hAnsi="Arial"/>
    </w:rPr>
  </w:style>
  <w:style w:styleId="style21" w:type="paragraph">
    <w:name w:val="Corpo de texto"/>
    <w:basedOn w:val="style0"/>
    <w:next w:val="style21"/>
    <w:pPr>
      <w:spacing w:after="120" w:before="0"/>
    </w:pPr>
    <w:rPr/>
  </w:style>
  <w:style w:styleId="style22" w:type="paragraph">
    <w:name w:val="Lista"/>
    <w:basedOn w:val="style21"/>
    <w:next w:val="style22"/>
    <w:pPr/>
    <w:rPr/>
  </w:style>
  <w:style w:styleId="style23" w:type="paragraph">
    <w:name w:val="Legenda"/>
    <w:basedOn w:val="style0"/>
    <w:next w:val="style23"/>
    <w:pPr>
      <w:suppressLineNumbers/>
      <w:spacing w:after="120" w:before="120"/>
    </w:pPr>
    <w:rPr>
      <w:sz w:val="24"/>
      <w:i/>
      <w:szCs w:val="24"/>
      <w:iCs/>
    </w:rPr>
  </w:style>
  <w:style w:styleId="style24" w:type="paragraph">
    <w:name w:val="Índice"/>
    <w:basedOn w:val="style0"/>
    <w:next w:val="style24"/>
    <w:pPr>
      <w:suppressLineNumbers/>
    </w:pPr>
    <w:rPr/>
  </w:style>
  <w:style w:styleId="style25" w:type="paragraph">
    <w:name w:val="Balloon Text"/>
    <w:basedOn w:val="style0"/>
    <w:next w:val="style25"/>
    <w:pPr/>
    <w:rPr/>
  </w:style>
  <w:style w:styleId="style26" w:type="paragraph">
    <w:name w:val="Normal (Web)"/>
    <w:basedOn w:val="style0"/>
    <w:next w:val="style26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22.png"/><Relationship Id="rId3" Type="http://schemas.openxmlformats.org/officeDocument/2006/relationships/image" Target="media/image23.png"/><Relationship Id="rId4" Type="http://schemas.openxmlformats.org/officeDocument/2006/relationships/hyperlink" Target="file:///C:\Documents and Settings\laerte.UFC_VIRTUAL\Desktop\Gestores\03_B_Modulo_Gestores\03_Formatado\tema_02\desafios\entrevistas.html%3FkeepThis=true&amp;TB_iframe=true&amp;height=100&amp;width=650" TargetMode="External"/><Relationship Id="rId5" Type="http://schemas.openxmlformats.org/officeDocument/2006/relationships/hyperlink" Target="http://www.tvbrasil.org.br/fotos/salto/series/145723IntegracaoTec.pdf" TargetMode="External"/><Relationship Id="rId6" Type="http://schemas.openxmlformats.org/officeDocument/2006/relationships/numbering" Target="numbering.xml"/><Relationship Id="rId7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2010-06-14T14:56:00.00Z</dcterms:created>
  <dc:creator>laerte</dc:creator>
  <cp:lastModifiedBy>laerte</cp:lastModifiedBy>
  <dcterms:modified xsi:type="dcterms:W3CDTF">2010-06-14T14:56:00.00Z</dcterms:modified>
  <cp:revision>2</cp:revision>
</cp:coreProperties>
</file>